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4453A">
      <w:pPr>
        <w:ind w:left="0" w:leftChars="0" w:firstLine="0" w:firstLineChars="0"/>
        <w:jc w:val="center"/>
        <w:rPr>
          <w:rFonts w:hint="default" w:ascii="Times New Roman" w:hAnsi="Times New Roman" w:eastAsia="Times New Roman" w:cs="Times New Roman"/>
          <w:b/>
          <w:sz w:val="28"/>
          <w:szCs w:val="28"/>
          <w:lang w:val="ru-RU" w:eastAsia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РЕЗОЛЮЦИЯ</w:t>
      </w:r>
    </w:p>
    <w:p w14:paraId="79579688">
      <w:pPr>
        <w:ind w:left="0" w:leftChars="0" w:firstLine="0" w:firstLineChars="0"/>
        <w:jc w:val="center"/>
        <w:rPr>
          <w:rFonts w:hint="default"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hint="default" w:ascii="Times New Roman" w:hAnsi="Times New Roman" w:eastAsia="Times New Roman" w:cs="Times New Roman"/>
          <w:bCs/>
          <w:sz w:val="28"/>
          <w:szCs w:val="28"/>
          <w:lang w:val="ru-RU" w:eastAsia="ru-RU"/>
        </w:rPr>
        <w:t>принята по итогам работы Международной конференции</w:t>
      </w:r>
    </w:p>
    <w:p w14:paraId="6512DF3F">
      <w:pPr>
        <w:spacing w:after="0" w:line="240" w:lineRule="auto"/>
        <w:ind w:left="0" w:leftChars="0" w:firstLine="0" w:firstLineChars="0"/>
        <w:jc w:val="center"/>
        <w:rPr>
          <w:rFonts w:hint="default" w:ascii="Times New Roman" w:hAnsi="Times New Roman" w:eastAsia="SimSun" w:cs="Times New Roman"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Cs/>
          <w:sz w:val="28"/>
          <w:szCs w:val="28"/>
          <w:lang w:val="ru-RU" w:eastAsia="ru-RU"/>
        </w:rPr>
        <w:t>«</w:t>
      </w:r>
      <w:r>
        <w:rPr>
          <w:rStyle w:val="7"/>
          <w:rFonts w:hint="default" w:ascii="Times New Roman" w:hAnsi="Times New Roman" w:eastAsia="SimSun" w:cs="Times New Roman"/>
          <w:sz w:val="28"/>
          <w:szCs w:val="28"/>
        </w:rPr>
        <w:t>«Качество и безопасность медицинской помощи как архитектура устойчивых систем здравоохранения будущего»</w:t>
      </w:r>
      <w:r>
        <w:rPr>
          <w:rFonts w:hint="default" w:ascii="Times New Roman" w:hAnsi="Times New Roman" w:eastAsia="SimSun" w:cs="Times New Roman"/>
          <w:sz w:val="28"/>
          <w:szCs w:val="28"/>
        </w:rPr>
        <w:br w:type="textWrapping"/>
      </w:r>
      <w:r>
        <w:rPr>
          <w:rFonts w:hint="default" w:ascii="Times New Roman" w:hAnsi="Times New Roman" w:eastAsia="SimSun" w:cs="Times New Roman"/>
          <w:sz w:val="28"/>
          <w:szCs w:val="28"/>
          <w:lang w:val="ru-RU"/>
        </w:rPr>
        <w:t>_____________________________________________________________</w:t>
      </w:r>
    </w:p>
    <w:p w14:paraId="36C098CD">
      <w:pPr>
        <w:spacing w:after="0" w:line="240" w:lineRule="auto"/>
        <w:ind w:left="0" w:leftChars="0" w:firstLine="879" w:firstLineChars="314"/>
        <w:jc w:val="center"/>
        <w:rPr>
          <w:rFonts w:hint="default" w:ascii="Times New Roman" w:hAnsi="Times New Roman" w:eastAsia="Times New Roman" w:cs="Times New Roman"/>
          <w:bCs/>
          <w:i/>
          <w:iCs/>
          <w:sz w:val="28"/>
          <w:szCs w:val="28"/>
          <w:lang w:val="ru-RU" w:eastAsia="ru-RU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02–0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ru-RU"/>
        </w:rPr>
        <w:t>4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февраля 2026 года, Курорт-отель «Discovery Borovoe»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ru-RU"/>
        </w:rPr>
        <w:t xml:space="preserve"> Акмолинская область, г. Щучинск</w:t>
      </w:r>
    </w:p>
    <w:p w14:paraId="6CAAFCC1">
      <w:pPr>
        <w:pStyle w:val="9"/>
        <w:ind w:left="0" w:leftChars="0" w:firstLine="879" w:firstLineChars="314"/>
        <w:jc w:val="center"/>
        <w:rPr>
          <w:rFonts w:hint="default" w:ascii="Times New Roman" w:hAnsi="Times New Roman" w:eastAsia="Times New Roman" w:cs="Times New Roman"/>
          <w:i/>
          <w:iCs/>
          <w:sz w:val="28"/>
          <w:szCs w:val="28"/>
        </w:rPr>
      </w:pPr>
    </w:p>
    <w:p w14:paraId="5F45C2F5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Мы, участники Международной конференции «Качество и безопасность медицинской помощи как архитектура устойчивых систем здравоохранения будущего», состоявшейся 02–04 февраля 2026 года, объединившей представителей профессионального медицинского сообщества, аккредитующих организаций, международных экспертов, руководителей медицинских организаций, образовательных учреждений и общественных фондов, рассмотрели современные вызовы и практические решения в сфере качества и безопасности медицинской помощи.</w:t>
      </w:r>
    </w:p>
    <w:p w14:paraId="21D123D2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Конференция прошла в офлайн- и онлайн-форматах и включала пре-конференцию, торжественное открытие, стратегические и практические сессии, панельн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ые</w:t>
      </w:r>
      <w:r>
        <w:rPr>
          <w:rFonts w:hint="default" w:ascii="Times New Roman" w:hAnsi="Times New Roman" w:cs="Times New Roman"/>
          <w:sz w:val="28"/>
          <w:szCs w:val="28"/>
        </w:rPr>
        <w:t xml:space="preserve"> дискусси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и</w:t>
      </w:r>
      <w:r>
        <w:rPr>
          <w:rFonts w:hint="default" w:ascii="Times New Roman" w:hAnsi="Times New Roman" w:cs="Times New Roman"/>
          <w:sz w:val="28"/>
          <w:szCs w:val="28"/>
        </w:rPr>
        <w:t>, мастер-классы, международные доклады, церемонии признания и подписание меморандумов о сотрудничестве</w:t>
      </w:r>
    </w:p>
    <w:p w14:paraId="1D71F145">
      <w:pPr>
        <w:pStyle w:val="8"/>
        <w:keepNext w:val="0"/>
        <w:keepLines w:val="0"/>
        <w:widowControl/>
        <w:suppressLineNumbers w:val="0"/>
        <w:ind w:left="0" w:leftChars="0" w:firstLine="880" w:firstLineChars="314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В рамках конференции были представлены:</w:t>
      </w:r>
    </w:p>
    <w:p w14:paraId="133149F9">
      <w:pPr>
        <w:pStyle w:val="8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— стратегическое видение ACQH о роли качества и безопасности как государственной и общественной ценности;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международная перспектива регулирования аккредитации и развития устойчивых систем здравоохранения;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 xml:space="preserve">—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м</w:t>
      </w:r>
      <w:r>
        <w:rPr>
          <w:rFonts w:hint="default" w:ascii="Times New Roman" w:hAnsi="Times New Roman" w:cs="Times New Roman"/>
          <w:sz w:val="28"/>
          <w:szCs w:val="28"/>
        </w:rPr>
        <w:t>етодическое руководство ACQH по инфекционному контролю;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практические кейсы медицинских организаций;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вопросы кадровой устойчивости, эмоционального выгорания, ESG-подходов, энергетической и экологической ответственности;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международные проекты ACQH и возможности регионального сотрудничества</w:t>
      </w:r>
    </w:p>
    <w:p w14:paraId="37955484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Особое внимание было уделено аккредитации как институту развития, а не формальной процедуре контроля, а также человеческому капиталу здравоохранения как ключевому элементу устойчивости системы.</w:t>
      </w:r>
    </w:p>
    <w:p w14:paraId="4FED1513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ходе панельной дискуссии «От стандартов к устойчивым результатам: роль аккредитации в безопасности пациентов и персонала» участники пришли к консолидированному мнению, что добровольная, независимая и профессионально ориентированная аккредитация:</w:t>
      </w:r>
    </w:p>
    <w:p w14:paraId="3D6FD3CD">
      <w:pPr>
        <w:pStyle w:val="8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— формирует культуру безопасности;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обеспечивает стандартизацию клинических и управленческих процессов;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повышает эффективность использования ресурсов;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способствует снижению медицинских ошибок и профессиональных рисков;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усиливает доверие персонала и пациентов к системе здравоохранения</w:t>
      </w:r>
    </w:p>
    <w:p w14:paraId="4D979617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Отмечены практические примеры повышения безопасности пациентов и персонала через внедрение стандартов (реагирование по «синему» и «красному» кодам, развитие госпитальной фармации, централизованное управление лекарственной безопасностью, функционирование системы регистрации инцидентов).</w:t>
      </w:r>
    </w:p>
    <w:p w14:paraId="345FAEF6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Участники также подчеркнули недопустимость возврата функции аккредитации в прямое государственное управление, поскольку это противоречит международной практике, создаёт конфликт интересов и снижает доверие профессионального сообщества.</w:t>
      </w:r>
    </w:p>
    <w:p w14:paraId="3D1E6014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По итогам обсуждений, докладов и экспертных сессий участники конференции </w:t>
      </w:r>
      <w:r>
        <w:rPr>
          <w:rStyle w:val="7"/>
          <w:rFonts w:hint="default" w:ascii="Times New Roman" w:hAnsi="Times New Roman" w:cs="Times New Roman"/>
          <w:sz w:val="28"/>
          <w:szCs w:val="28"/>
        </w:rPr>
        <w:t>пришли к следующим выводам и рекомендациям</w:t>
      </w:r>
      <w:r>
        <w:rPr>
          <w:rFonts w:hint="default" w:ascii="Times New Roman" w:hAnsi="Times New Roman" w:cs="Times New Roman"/>
          <w:sz w:val="28"/>
          <w:szCs w:val="28"/>
        </w:rPr>
        <w:t>:</w:t>
      </w:r>
    </w:p>
    <w:p w14:paraId="3FB8D25E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КОНФЕРЕНЦИЯ СЧИТАЕТ НЕОБХОДИМЫМ:</w:t>
      </w:r>
    </w:p>
    <w:p w14:paraId="5E0B37E9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 Признать качество и безопасность медицинской помощи системообразующими элементами устойчивых систем здравоохранения,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поскольку именно они определяют доверие населения, клинические исходы, кадровую стабильность и эффективность использования ресурсов.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Рекомендовать рассматривать показатели качества и безопасности как ключевые индикаторы при формировании государственной политики, программ развития здравоохранения и финансирования медицинских организаций.</w:t>
      </w:r>
    </w:p>
    <w:p w14:paraId="3FA60523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2. Поддержать развитие независимой и добровольной аккредитации как инструмента реального улучшения процессов,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ориентированного на внутренние изменения медицинских организаций, формирование культуры безопасности и устойчивые клинические результаты, а не как административную процедуру.</w:t>
      </w:r>
    </w:p>
    <w:p w14:paraId="0B561822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Рекомендовать сохранять добровольный характер аккредитации, обеспечивая её мотивационную модель через профессиональное признание, финансовые стимулы и интеграцию в систему управления качеством.</w:t>
      </w:r>
    </w:p>
    <w:p w14:paraId="08B766ED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3. Рекомендовать сохранение негосударственного характера аккредитации и пересмотр инициатив, направленных на её огосударствление,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в связи с риском конфликта интересов, снижением доверия профессионального сообщества и утратой независимости оценки.</w:t>
      </w:r>
    </w:p>
    <w:p w14:paraId="1AF8CE31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Считать целесообразным развитие модели общественно-профессиональной аккредитации с участием независимых экспертов, пациентских организаций и международных партнёров.</w:t>
      </w:r>
    </w:p>
    <w:p w14:paraId="3841D8F8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4. Отметить эффективность стандартов ACQH как практического механизма повышения безопасности пациентов и медицинского персонала,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подтверждённую реальными кейсами медицинских организаций (включая снижение медикаментозных ошибок, улучшение реагирования на экстренные ситуации, развитие системы инцидентов).</w:t>
      </w:r>
    </w:p>
    <w:p w14:paraId="5CD5F11F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Рекомендовать использовать стандарты ACQH как основу для построения внутренних систем качества.</w:t>
      </w:r>
    </w:p>
    <w:p w14:paraId="23269C06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5. Рекомендовать внедрение обновлённых стандартов аккредитации, ориентированных на:</w:t>
      </w:r>
    </w:p>
    <w:p w14:paraId="5B739AB4">
      <w:pPr>
        <w:pStyle w:val="8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— клинические результаты,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устойчивость медицинских организаций,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безопасность пациентов и персонала,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управление рисками,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междисциплинарное взаимодействие.</w:t>
      </w:r>
    </w:p>
    <w:p w14:paraId="17FCFA12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Особое внимание уделить интеграции ESG-подходов, экологической ответственности и рациональному использованию ресурсов.</w:t>
      </w:r>
    </w:p>
    <w:p w14:paraId="578AA813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6. Подчеркнуть необходимость усиления кадровой устойчивости медицинских организаций,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включая профилактику эмоционального выгорания, развитие лидерских и управленческих компетенций, а также внедрение программ психологической поддержки медицинского персонала.</w:t>
      </w:r>
    </w:p>
    <w:p w14:paraId="4D232B3F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Рекомендовать включить показатели благополучия персонала в систему мониторинга качества.</w:t>
      </w:r>
    </w:p>
    <w:p w14:paraId="134EAAAE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7. Признать значимость инфекционного контроля как базового элемента архитектуры качества,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и поддержать внедрение Методического руководства ACQH по инфекционному контролю как практического инструмента профилактики инфекций, связанных с оказанием медицинской помощи.</w:t>
      </w:r>
    </w:p>
    <w:p w14:paraId="050806AC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Рекомендовать обязательную стандартизацию процессов ИК и регулярное обучение персонала.</w:t>
      </w:r>
    </w:p>
    <w:p w14:paraId="465FAF63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8. Рекомендовать развитие госпитальной фармации, Patient Blood Management и рационального управления клиническими ресурсами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с целью повышения лекарственной безопасности, снижения медицинских ошибок и оптимизации затрат.</w:t>
      </w:r>
    </w:p>
    <w:p w14:paraId="34939186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9. Отметить роль эмоционального интеллекта и человеческого фактора в обеспечении безопасности медицинской помощи,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ключая формирование командной культуры, открытого обсуждения инцидентов и отказа от карательного подхода.</w:t>
      </w:r>
    </w:p>
    <w:p w14:paraId="62E49E4D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10. Поддержать развитие дополнительного профессионального образования и подготовки экспертов по аккредитации,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включая международные образовательные программы, симуляционное обучение и обмен опытом.</w:t>
      </w:r>
    </w:p>
    <w:p w14:paraId="270C4239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11. Рекомендовать учитывать международный опыт в области качества, безопасности и экспорта медицинских услуг,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адаптируя лучшие практики к национальному контексту.</w:t>
      </w:r>
    </w:p>
    <w:p w14:paraId="34E7A764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12. Поддержать внедрение цифровых решений в здравоохранении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(включая телемедицину, аналитические платформы и элементы искусственного интеллекта) при обязательной оценке рисков для пациентов и персонала.</w:t>
      </w:r>
    </w:p>
    <w:p w14:paraId="0D914625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13. Считать целесообразным продолжение профессионального диалога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в формате регулярных международных конференций, экспертных платформ и рабочих групп.</w:t>
      </w:r>
    </w:p>
    <w:p w14:paraId="24E59FD1">
      <w:pPr>
        <w:pStyle w:val="4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14. Поддержать стратегические приоритеты ACQH на 2025–2030 годы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и использовать результаты конференции при разработке стандартов, методических рекомендаций и образовательных программ.</w:t>
      </w:r>
    </w:p>
    <w:p w14:paraId="33A9DDE6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3BCFAFC6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4D5AB944">
      <w:pPr>
        <w:pStyle w:val="3"/>
        <w:keepNext w:val="0"/>
        <w:keepLines w:val="0"/>
        <w:widowControl/>
        <w:suppressLineNumbers w:val="0"/>
        <w:ind w:left="0" w:leftChars="0" w:firstLine="883" w:firstLineChars="314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О МЕЖДУНАРОДНОМ СОТРУДНИЧЕСТВЕ И РАЗВИТИИ ПАРТНЁРСТВ</w:t>
      </w:r>
    </w:p>
    <w:p w14:paraId="056DDB92">
      <w:pPr>
        <w:pStyle w:val="4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 О реализации сотрудничества с Министерством здравоохранения Монголии</w:t>
      </w:r>
    </w:p>
    <w:p w14:paraId="2BF4A3BD">
      <w:pPr>
        <w:pStyle w:val="8"/>
        <w:keepNext w:val="0"/>
        <w:keepLines w:val="0"/>
        <w:widowControl/>
        <w:suppressLineNumbers w:val="0"/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В рамках Международной конференции было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осуществлено </w:t>
      </w:r>
      <w:r>
        <w:rPr>
          <w:rFonts w:hint="default" w:ascii="Times New Roman" w:hAnsi="Times New Roman" w:cs="Times New Roman"/>
          <w:sz w:val="28"/>
          <w:szCs w:val="28"/>
        </w:rPr>
        <w:t>подписание Меморандума о сотрудничестве между Общественным объединением «Accreditation Center for Quality in Healthcare (ACQH)» и Министерством здравоохранения Монголии, направленного на развитие системы качества и безопасности медицинской помощи.</w:t>
      </w:r>
    </w:p>
    <w:p w14:paraId="1DFC768B">
      <w:pPr>
        <w:pStyle w:val="8"/>
        <w:keepNext w:val="0"/>
        <w:keepLines w:val="0"/>
        <w:widowControl/>
        <w:suppressLineNumbers w:val="0"/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связи с заключением Меморандума участники конференции считают необходимым:</w:t>
      </w:r>
    </w:p>
    <w:p w14:paraId="5BA56290">
      <w:pPr>
        <w:pStyle w:val="8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— определить ACQH в качестве методологического и экспертного партнёра по вопросам аккредитации медицинских организаций Монголии;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продолжить реализацию программ подготовки и повышения квалификации экспертов по аккредитации для представителей системы здравоохранения Монголии;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обеспечить поэтапную адаптацию стандартов аккредитации ACQH с учётом национального законодательства и организационных особенностей системы здравоохранения Монголии;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развивать дистанционные и гибридные форматы обучения, консультаций и комплементарного аудита медицинских организаций;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содействовать формированию национального пула экспертов и тренеров по качеству и безопасности медицинской помощи;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организовать обмен практиками и экспертными визитами между медицинскими организациями Казахстана и Монголии;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рассмотреть возможность проведения совместных пилотных проектов по аккредитации и постаккредитационному мониторингу.</w:t>
      </w:r>
    </w:p>
    <w:p w14:paraId="1ECD7E33">
      <w:pPr>
        <w:pStyle w:val="8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Реализация указанных направлений рассматривается как вклад в развитие устойчивых систем здравоохранения региона и укрепление международного доверия к институту независимой аккредитации.</w:t>
      </w:r>
    </w:p>
    <w:p w14:paraId="6C062DC6">
      <w:pPr>
        <w:pStyle w:val="4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2. О продолжении переговоров и развитии сотрудничества с Турецким центром аккредитации TUSKA</w:t>
      </w:r>
    </w:p>
    <w:p w14:paraId="14AAAFA0">
      <w:pPr>
        <w:pStyle w:val="8"/>
        <w:keepNext w:val="0"/>
        <w:keepLines w:val="0"/>
        <w:widowControl/>
        <w:suppressLineNumbers w:val="0"/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Участники конференции отметили стратегическую значимость продолжения переговоров о сотрудничестве между ACQH и Турецким центром аккредитации TUSKA в целях обмена опытом, гармонизации подходов к аккредитации и развития международного партнёрства.</w:t>
      </w:r>
    </w:p>
    <w:p w14:paraId="30FDF71E">
      <w:pPr>
        <w:pStyle w:val="8"/>
        <w:keepNext w:val="0"/>
        <w:keepLines w:val="0"/>
        <w:widowControl/>
        <w:suppressLineNumbers w:val="0"/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рамках дальнейших переговоров рекомендуется:</w:t>
      </w:r>
    </w:p>
    <w:p w14:paraId="4014DF40">
      <w:pPr>
        <w:pStyle w:val="8"/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— проработать возможности взаимного обмена экспертами и участия специалистов в аккредитационных процедурах и обучающих программах;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рассмотреть вопросы сопоставимости и взаимного признания отдельных стандартов и методических подходов;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организовать совместные образовательные мероприятия, мастер-классы и экспертные сессии по вопросам качества и безопасности медицинской помощи;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изучить потенциал совместных международных проектов в странах Центральной Азии и Ближнего Востока;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— рассмотреть возможности проведения совместных исследований и публикаций по вопросам аккредитации, устойчивости медицинских организаций и культуры безопасности.</w:t>
      </w:r>
    </w:p>
    <w:p w14:paraId="0CE6DE5A">
      <w:pPr>
        <w:pStyle w:val="8"/>
        <w:keepNext w:val="0"/>
        <w:keepLines w:val="0"/>
        <w:widowControl/>
        <w:suppressLineNumbers w:val="0"/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Развитие сотрудничества с TUSKA рассматривается как важный шаг к укреплению международной позиции ACQH, расширению географии деятельности и интеграции лучших мировых практик в национальные системы здравоохранения.</w:t>
      </w:r>
    </w:p>
    <w:p w14:paraId="5BCA52B7">
      <w:pPr>
        <w:pStyle w:val="8"/>
        <w:keepNext w:val="0"/>
        <w:keepLines w:val="0"/>
        <w:widowControl/>
        <w:suppressLineNumbers w:val="0"/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Участники конференции подчёркивают, что международное сотрудничество ACQH, основанное на принципах независимости, профессионализма и добровольности аккредитации, является ключевым инструментом развития устойчивых систем здравоохранения, повышения качества медицинской помощ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t>и и укрепления доверия между странами и профессиональными сообществами.</w:t>
      </w:r>
    </w:p>
    <w:p w14:paraId="31E2B6AF">
      <w:pPr>
        <w:pStyle w:val="8"/>
        <w:keepNext w:val="0"/>
        <w:keepLines w:val="0"/>
        <w:widowControl/>
        <w:suppressLineNumbers w:val="0"/>
        <w:ind w:left="0" w:leftChars="0" w:firstLine="879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55BD922E">
      <w:pPr>
        <w:pStyle w:val="8"/>
        <w:keepNext w:val="0"/>
        <w:keepLines w:val="0"/>
        <w:widowControl/>
        <w:suppressLineNumbers w:val="0"/>
        <w:ind w:left="0" w:leftChars="0" w:firstLine="880" w:firstLineChars="314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Настоящая Резолюция принята участниками Международной конференции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«Качество и безопасность медицинской помощи как архитектура устойчивых систем здравоохранения будущего»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и рекомендуется к использованию органами управления здравоохранением, медицинскими организациями, профессиональными и общественными объединениями.</w:t>
      </w:r>
    </w:p>
    <w:p w14:paraId="34F66DC6">
      <w:pPr>
        <w:tabs>
          <w:tab w:val="left" w:pos="851"/>
        </w:tabs>
        <w:spacing w:before="100" w:beforeAutospacing="1" w:after="100" w:afterAutospacing="1" w:line="240" w:lineRule="auto"/>
        <w:ind w:left="0" w:leftChars="0" w:firstLine="880" w:firstLineChars="314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</w:rPr>
        <w:t xml:space="preserve">Подписано: 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</w:rPr>
        <w:br w:type="textWrapping"/>
      </w:r>
      <w:r>
        <w:rPr>
          <w:rFonts w:hint="default" w:ascii="Times New Roman" w:hAnsi="Times New Roman" w:eastAsia="Times New Roman" w:cs="Times New Roman"/>
          <w:sz w:val="28"/>
          <w:szCs w:val="28"/>
        </w:rPr>
        <w:t xml:space="preserve">Участники Международной конференции </w:t>
      </w:r>
      <w:r>
        <w:rPr>
          <w:rFonts w:hint="default"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eastAsia="Times New Roman" w:cs="Times New Roman"/>
          <w:sz w:val="28"/>
          <w:szCs w:val="28"/>
        </w:rPr>
        <w:t xml:space="preserve">г. Астана,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05</w:t>
      </w:r>
      <w:r>
        <w:rPr>
          <w:rFonts w:hint="default"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февраля </w:t>
      </w:r>
      <w:r>
        <w:rPr>
          <w:rFonts w:hint="default" w:ascii="Times New Roman" w:hAnsi="Times New Roman" w:eastAsia="Times New Roman" w:cs="Times New Roman"/>
          <w:sz w:val="28"/>
          <w:szCs w:val="28"/>
        </w:rPr>
        <w:t>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hint="default" w:ascii="Times New Roman" w:hAnsi="Times New Roman" w:eastAsia="Times New Roman" w:cs="Times New Roman"/>
          <w:sz w:val="28"/>
          <w:szCs w:val="28"/>
        </w:rPr>
        <w:t xml:space="preserve"> года</w:t>
      </w:r>
    </w:p>
    <w:sectPr>
      <w:pgSz w:w="11906" w:h="16838"/>
      <w:pgMar w:top="1440" w:right="1086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C2C38"/>
    <w:rsid w:val="222C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kk-KZ" w:eastAsia="en-US" w:bidi="ar-SA"/>
    </w:rPr>
  </w:style>
  <w:style w:type="paragraph" w:styleId="2">
    <w:name w:val="heading 1"/>
    <w:basedOn w:val="1"/>
    <w:qFormat/>
    <w:uiPriority w:val="1"/>
    <w:pPr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kk-KZ" w:eastAsia="en-US" w:bidi="ar-SA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paragraph" w:styleId="4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5"/>
    <w:qFormat/>
    <w:uiPriority w:val="0"/>
    <w:rPr>
      <w:b/>
      <w:bCs/>
    </w:rPr>
  </w:style>
  <w:style w:type="paragraph" w:styleId="8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9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en-US" w:eastAsia="en-US" w:bidi="ar-SA"/>
    </w:rPr>
  </w:style>
  <w:style w:type="paragraph" w:styleId="10">
    <w:name w:val="List Paragraph"/>
    <w:basedOn w:val="1"/>
    <w:qFormat/>
    <w:uiPriority w:val="1"/>
    <w:pPr>
      <w:ind w:left="1199" w:hanging="159"/>
      <w:jc w:val="both"/>
    </w:pPr>
    <w:rPr>
      <w:rFonts w:ascii="Times New Roman" w:hAnsi="Times New Roman" w:eastAsia="Times New Roman" w:cs="Times New Roman"/>
      <w:lang w:val="kk-KZ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2026-02-10T08:30:00Z</dcterms:created>
  <dc:creator>Раушан Аяганова</dc:creator>
  <cp:lastModifiedBy>Раушан Аяганова</cp:lastModifiedBy>
  <dcterms:modified xsi:type="dcterms:W3CDTF">2026-02-10T08:45:37Z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F2553972479A48E99ACFE75C833F486B_11</vt:lpwstr>
  </property>
</Properties>
</file>